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9"/>
        <w:gridCol w:w="3393"/>
        <w:gridCol w:w="2835"/>
      </w:tblGrid>
      <w:tr w:rsidR="005E7AEC" w:rsidRPr="00940DE2" w14:paraId="4449E2E2" w14:textId="77777777" w:rsidTr="001060A4">
        <w:trPr>
          <w:trHeight w:val="915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1060A4">
        <w:trPr>
          <w:trHeight w:val="585"/>
        </w:trPr>
        <w:tc>
          <w:tcPr>
            <w:tcW w:w="94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549803F3" w14:textId="77777777" w:rsidTr="001060A4">
        <w:trPr>
          <w:trHeight w:val="585"/>
        </w:trPr>
        <w:tc>
          <w:tcPr>
            <w:tcW w:w="6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5000EF3E" w:rsidR="00227296" w:rsidRPr="00940DE2" w:rsidRDefault="00B3186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Liftback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/kombi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060A4" w14:paraId="2A84212B" w14:textId="77777777" w:rsidTr="001060A4">
        <w:trPr>
          <w:trHeight w:val="300"/>
        </w:trPr>
        <w:tc>
          <w:tcPr>
            <w:tcW w:w="32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649EA" w14:textId="77777777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DE7EFB" w14:textId="77777777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74BA4F61" w14:textId="77777777" w:rsidR="001060A4" w:rsidRDefault="001060A4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227296" w:rsidRPr="00F826BF" w14:paraId="71614396" w14:textId="77777777" w:rsidTr="001060A4">
        <w:trPr>
          <w:trHeight w:val="3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4E47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1060A4">
        <w:trPr>
          <w:trHeight w:val="975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8F703" w14:textId="77777777" w:rsidR="00BB3833" w:rsidRPr="00BB3833" w:rsidRDefault="00BB3833" w:rsidP="00BB3833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7B992812" w14:textId="77777777" w:rsidR="00BB3833" w:rsidRPr="00BB3833" w:rsidRDefault="00BB3833" w:rsidP="00BB383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DA32FA7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0BF3DD8A" w14:textId="77777777" w:rsidR="00C13152" w:rsidRDefault="00C13152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požadavky nařízení vlády č. 173/2016 Sb., o stanovení závazných zadávacích podmínek pro veřejné zakázky na pořízení silničních vozidel, </w:t>
            </w:r>
          </w:p>
          <w:p w14:paraId="066B9A1C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6903DD31" w14:textId="23BB9DD5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46F29DC3" w14:textId="2BE73D5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+ kůže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33CF7BE6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1060A4">
        <w:trPr>
          <w:trHeight w:val="477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5DD8D49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1060A4">
        <w:trPr>
          <w:trHeight w:val="31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30F3A61" w14:textId="62D0F6C6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hnědá,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bílá</w:t>
            </w:r>
            <w:r w:rsidR="00DC4B1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černá</w:t>
            </w:r>
            <w:r w:rsidR="00B3186D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 béžová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1060A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492A6A84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34734FE7" w14:textId="77777777" w:rsidR="00B3186D" w:rsidRDefault="00B3186D">
      <w:r>
        <w:br w:type="page"/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5"/>
        <w:gridCol w:w="2968"/>
        <w:gridCol w:w="3118"/>
      </w:tblGrid>
      <w:tr w:rsidR="005E7AEC" w:rsidRPr="00940DE2" w14:paraId="28853C93" w14:textId="77777777" w:rsidTr="00760F9F">
        <w:trPr>
          <w:trHeight w:val="375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059807E3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760F9F">
        <w:trPr>
          <w:trHeight w:val="585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B72C8C">
        <w:trPr>
          <w:trHeight w:val="300"/>
        </w:trPr>
        <w:tc>
          <w:tcPr>
            <w:tcW w:w="3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0C3FBD6E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50D14786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F168FC" w:rsidRPr="00F826BF" w14:paraId="28B0946E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993712" w14:textId="55FA11C5" w:rsidR="00F168FC" w:rsidRPr="00F826BF" w:rsidRDefault="00F839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Pr="00F839EC">
              <w:rPr>
                <w:rFonts w:ascii="Arial" w:eastAsia="Times New Roman" w:hAnsi="Arial" w:cs="Arial"/>
                <w:sz w:val="22"/>
                <w:szCs w:val="22"/>
              </w:rPr>
              <w:t>inimální efektivní prostor (nad sedákem v místě dotyku opěrky) pro hlavu vzadu</w:t>
            </w:r>
            <w:r w:rsidR="00A403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403DC"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E28EA6" w14:textId="66169A03" w:rsidR="00F168FC" w:rsidRPr="00F826BF" w:rsidRDefault="00F168F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 w:rsidR="00F839E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7395D" w14:textId="5B839158" w:rsidR="00F168FC" w:rsidRPr="00F826BF" w:rsidRDefault="00F168F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686A37ED" w14:textId="018E1B70" w:rsidR="00760F9F" w:rsidRDefault="00760F9F"/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809"/>
        <w:gridCol w:w="10"/>
        <w:gridCol w:w="2967"/>
        <w:gridCol w:w="10"/>
      </w:tblGrid>
      <w:tr w:rsidR="005E7AEC" w:rsidRPr="00940DE2" w14:paraId="514949B3" w14:textId="77777777" w:rsidTr="008E2CF7">
        <w:trPr>
          <w:gridAfter w:val="1"/>
          <w:wAfter w:w="10" w:type="dxa"/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F4339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B5284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26A5338A" w14:textId="77777777" w:rsidTr="008E2CF7">
        <w:trPr>
          <w:gridAfter w:val="1"/>
          <w:wAfter w:w="10" w:type="dxa"/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3FBA7668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  <w:r w:rsidR="00BC2A4E">
              <w:rPr>
                <w:rFonts w:ascii="Arial" w:eastAsia="Times New Roman" w:hAnsi="Arial" w:cs="Arial"/>
                <w:sz w:val="22"/>
                <w:szCs w:val="22"/>
              </w:rPr>
              <w:t xml:space="preserve"> a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39CC6BB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E06F1" w:rsidRPr="00940DE2" w14:paraId="3DA5AD1C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C53EEEC" w14:textId="0291EAB5" w:rsidR="000E06F1" w:rsidRPr="00F826BF" w:rsidRDefault="000E06F1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01C313" w14:textId="3599B0F7" w:rsidR="000E06F1" w:rsidRPr="00F826BF" w:rsidRDefault="000E06F1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plně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E2CF7" w:rsidRPr="00940DE2" w14:paraId="2F1C157D" w14:textId="77777777" w:rsidTr="008E2CF7">
        <w:trPr>
          <w:gridBefore w:val="1"/>
          <w:wBefore w:w="10" w:type="dxa"/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2141046" w14:textId="77777777" w:rsidR="008E2CF7" w:rsidRDefault="008E2CF7" w:rsidP="00EB352B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26C10614" w14:textId="77777777" w:rsidR="008E2CF7" w:rsidRPr="00940DE2" w:rsidRDefault="008E2CF7" w:rsidP="00EB35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612ED07" w14:textId="77777777" w:rsidR="008E2CF7" w:rsidRPr="00940DE2" w:rsidRDefault="008E2CF7" w:rsidP="00EB35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F826BF" w:rsidRPr="00940DE2" w14:paraId="0DCD5A12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51B97" w:rsidRPr="00940DE2" w14:paraId="295AA376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31A8CCC" w14:textId="1F7A7502" w:rsidR="00751B97" w:rsidRDefault="00751B9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Hlasové ovládání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849F8" w14:textId="7105B44E" w:rsidR="00751B97" w:rsidRPr="00F826BF" w:rsidRDefault="00751B97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8E2CF7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AEDCB37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EAAD9D1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A2E960" w14:textId="77777777" w:rsidR="00864D8A" w:rsidRPr="00497A4A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497A4A">
              <w:rPr>
                <w:rFonts w:ascii="Arial" w:eastAsia="Times New Roman" w:hAnsi="Arial" w:cs="Arial"/>
                <w:sz w:val="22"/>
                <w:szCs w:val="22"/>
              </w:rPr>
              <w:t>Boční a zadní sluneční rolety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FAAD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8E2CF7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ádio originální z výroby integrované v palubní desce, HF -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8E2CF7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704C4CCB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4AB21FD" w14:textId="77777777" w:rsidTr="008E2CF7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E2986B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DE79C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8E2CF7">
        <w:trPr>
          <w:gridBefore w:val="1"/>
          <w:wBefore w:w="10" w:type="dxa"/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7F2C0EFB" w14:textId="77777777" w:rsidR="008E2CF7" w:rsidRDefault="008E2CF7">
      <w:r>
        <w:br w:type="page"/>
      </w:r>
    </w:p>
    <w:tbl>
      <w:tblPr>
        <w:tblW w:w="979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864D8A" w:rsidRPr="00940DE2" w14:paraId="799331AB" w14:textId="77777777" w:rsidTr="008E2CF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8332" w14:textId="33EBFBEA" w:rsidR="00864D8A" w:rsidRPr="00940DE2" w:rsidRDefault="00864D8A" w:rsidP="003F7FE0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EAE3" w14:textId="77777777" w:rsidR="00864D8A" w:rsidRPr="00940DE2" w:rsidRDefault="00864D8A" w:rsidP="003F7FE0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B225" w14:textId="77777777" w:rsidR="00864D8A" w:rsidRPr="00940DE2" w:rsidRDefault="00864D8A" w:rsidP="003F7F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413F1E" w:rsidRPr="00940DE2" w14:paraId="258C2516" w14:textId="77777777" w:rsidTr="008E2CF7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73B82CB" w14:textId="5DFE24A2" w:rsidR="00413F1E" w:rsidRDefault="00413F1E" w:rsidP="00B3277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parametry operativního leasingu</w:t>
            </w:r>
          </w:p>
          <w:p w14:paraId="71158580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1AF84F2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012E08" w:rsidRPr="00012E08" w14:paraId="00C430B0" w14:textId="77777777" w:rsidTr="008E2CF7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63F5B5" w14:textId="77777777" w:rsidR="00785E80" w:rsidRPr="00012E08" w:rsidRDefault="00785E80" w:rsidP="00785E80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0E68960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Havarijní pojištění (spoluúčast 1%, min. 1 000 Kč)</w:t>
            </w:r>
          </w:p>
          <w:p w14:paraId="4730EF22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</w:p>
          <w:p w14:paraId="3B52BB3A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6FE56BAC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4F6089E3" w14:textId="282A2FFC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 w:rsidR="00661E14"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4596B297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414E1EA0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6CF9BCCF" w14:textId="77777777" w:rsidR="008F0315" w:rsidRPr="00545D6E" w:rsidRDefault="008F0315" w:rsidP="008F0315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0C77896C" w14:textId="05B20070" w:rsidR="00413F1E" w:rsidRPr="008F0315" w:rsidRDefault="008F0315" w:rsidP="00785E80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FB233" w14:textId="77777777" w:rsidR="00413F1E" w:rsidRPr="00012E08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12E0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:rsidRPr="00F826BF" w14:paraId="351C4771" w14:textId="77777777" w:rsidTr="008E2CF7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8C8178" w14:textId="60A23032" w:rsidR="00413F1E" w:rsidRPr="00940DE2" w:rsidRDefault="004668BE" w:rsidP="00B32773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Akontace 70% ceny této části zakázky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F8E8C" w14:textId="77777777" w:rsidR="00413F1E" w:rsidRPr="00F826BF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:rsidRPr="00F826BF" w14:paraId="68363683" w14:textId="77777777" w:rsidTr="008E2CF7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D9C8E" w14:textId="631597C3" w:rsidR="00413F1E" w:rsidRPr="00940DE2" w:rsidRDefault="00413F1E" w:rsidP="00B32773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F37C3A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C089" w14:textId="77777777" w:rsidR="00413F1E" w:rsidRPr="00F826BF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14:paraId="21CA0001" w14:textId="77777777" w:rsidTr="008E2CF7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D62B6A" w14:textId="2E9FD2F3" w:rsidR="00413F1E" w:rsidRDefault="00413F1E" w:rsidP="00B32773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Nájezd 20 000 km</w:t>
            </w:r>
            <w:r w:rsidR="00DF49C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ročně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(</w:t>
            </w:r>
            <w:r w:rsidR="00F37C3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80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 000 km za </w:t>
            </w:r>
            <w:r w:rsidR="001D7F76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48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4C4398" w14:textId="77777777" w:rsidR="00413F1E" w:rsidRDefault="00413F1E" w:rsidP="00B32773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</w:tbl>
    <w:p w14:paraId="1EE5739F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9E95" w14:textId="77777777" w:rsidR="00DD7443" w:rsidRDefault="00DD7443" w:rsidP="005E7AEC">
      <w:r>
        <w:separator/>
      </w:r>
    </w:p>
  </w:endnote>
  <w:endnote w:type="continuationSeparator" w:id="0">
    <w:p w14:paraId="053430FF" w14:textId="77777777" w:rsidR="00DD7443" w:rsidRDefault="00DD7443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ADBB" w14:textId="77777777" w:rsidR="00DD7443" w:rsidRDefault="00DD7443" w:rsidP="005E7AEC">
      <w:r>
        <w:separator/>
      </w:r>
    </w:p>
  </w:footnote>
  <w:footnote w:type="continuationSeparator" w:id="0">
    <w:p w14:paraId="1E001856" w14:textId="77777777" w:rsidR="00DD7443" w:rsidRDefault="00DD7443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DD7443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2E08"/>
    <w:rsid w:val="00015ABE"/>
    <w:rsid w:val="00032897"/>
    <w:rsid w:val="00060C17"/>
    <w:rsid w:val="00085E36"/>
    <w:rsid w:val="00096C97"/>
    <w:rsid w:val="000D5199"/>
    <w:rsid w:val="000E06F1"/>
    <w:rsid w:val="000E1CEA"/>
    <w:rsid w:val="001060A4"/>
    <w:rsid w:val="00117CE5"/>
    <w:rsid w:val="001217B0"/>
    <w:rsid w:val="00152C0D"/>
    <w:rsid w:val="00173AB1"/>
    <w:rsid w:val="001A02CD"/>
    <w:rsid w:val="001A4CF8"/>
    <w:rsid w:val="001B34FA"/>
    <w:rsid w:val="001D7F76"/>
    <w:rsid w:val="001E1E8A"/>
    <w:rsid w:val="0022146F"/>
    <w:rsid w:val="00227296"/>
    <w:rsid w:val="002541A0"/>
    <w:rsid w:val="00277C59"/>
    <w:rsid w:val="00297C42"/>
    <w:rsid w:val="002A003C"/>
    <w:rsid w:val="002A615D"/>
    <w:rsid w:val="002F5D61"/>
    <w:rsid w:val="003140D8"/>
    <w:rsid w:val="00314C5A"/>
    <w:rsid w:val="00325186"/>
    <w:rsid w:val="003555D7"/>
    <w:rsid w:val="00355D60"/>
    <w:rsid w:val="00384797"/>
    <w:rsid w:val="00390B57"/>
    <w:rsid w:val="0039364F"/>
    <w:rsid w:val="00394799"/>
    <w:rsid w:val="00395015"/>
    <w:rsid w:val="003A17E9"/>
    <w:rsid w:val="003D1E28"/>
    <w:rsid w:val="003D4327"/>
    <w:rsid w:val="003D7DE7"/>
    <w:rsid w:val="003F253C"/>
    <w:rsid w:val="00413F1E"/>
    <w:rsid w:val="00454161"/>
    <w:rsid w:val="004668BE"/>
    <w:rsid w:val="00474BEC"/>
    <w:rsid w:val="004928FB"/>
    <w:rsid w:val="00497A4A"/>
    <w:rsid w:val="004A52E0"/>
    <w:rsid w:val="004C587E"/>
    <w:rsid w:val="004D57F1"/>
    <w:rsid w:val="004E0173"/>
    <w:rsid w:val="004E47B0"/>
    <w:rsid w:val="004F5AAA"/>
    <w:rsid w:val="00506887"/>
    <w:rsid w:val="00512036"/>
    <w:rsid w:val="00536A6D"/>
    <w:rsid w:val="00546259"/>
    <w:rsid w:val="00586C7A"/>
    <w:rsid w:val="00594462"/>
    <w:rsid w:val="00594F67"/>
    <w:rsid w:val="005B6080"/>
    <w:rsid w:val="005B64C8"/>
    <w:rsid w:val="005E7AEC"/>
    <w:rsid w:val="00603AC8"/>
    <w:rsid w:val="00630009"/>
    <w:rsid w:val="006467D2"/>
    <w:rsid w:val="00656306"/>
    <w:rsid w:val="00661E14"/>
    <w:rsid w:val="006711D7"/>
    <w:rsid w:val="0067387C"/>
    <w:rsid w:val="00677FA1"/>
    <w:rsid w:val="006A351E"/>
    <w:rsid w:val="006A7E1C"/>
    <w:rsid w:val="006D5AA0"/>
    <w:rsid w:val="006D7308"/>
    <w:rsid w:val="00700213"/>
    <w:rsid w:val="00751B97"/>
    <w:rsid w:val="00760F9F"/>
    <w:rsid w:val="00782382"/>
    <w:rsid w:val="00782B19"/>
    <w:rsid w:val="00785E80"/>
    <w:rsid w:val="007B6AB1"/>
    <w:rsid w:val="007E41B3"/>
    <w:rsid w:val="00803050"/>
    <w:rsid w:val="0081578E"/>
    <w:rsid w:val="00816F1C"/>
    <w:rsid w:val="00826CE9"/>
    <w:rsid w:val="00832DAA"/>
    <w:rsid w:val="00843799"/>
    <w:rsid w:val="00864D8A"/>
    <w:rsid w:val="00870CAB"/>
    <w:rsid w:val="00871299"/>
    <w:rsid w:val="00891DA1"/>
    <w:rsid w:val="0089684E"/>
    <w:rsid w:val="008D7778"/>
    <w:rsid w:val="008E2CF7"/>
    <w:rsid w:val="008E35D0"/>
    <w:rsid w:val="008F0315"/>
    <w:rsid w:val="009161F5"/>
    <w:rsid w:val="00946C84"/>
    <w:rsid w:val="009817B7"/>
    <w:rsid w:val="00983D3D"/>
    <w:rsid w:val="009E0CE6"/>
    <w:rsid w:val="009F1E94"/>
    <w:rsid w:val="009F4325"/>
    <w:rsid w:val="00A403DC"/>
    <w:rsid w:val="00A4568D"/>
    <w:rsid w:val="00AA0EF8"/>
    <w:rsid w:val="00AA31C2"/>
    <w:rsid w:val="00B2495C"/>
    <w:rsid w:val="00B26896"/>
    <w:rsid w:val="00B3186D"/>
    <w:rsid w:val="00B72C8C"/>
    <w:rsid w:val="00B809D8"/>
    <w:rsid w:val="00B8724D"/>
    <w:rsid w:val="00B932CC"/>
    <w:rsid w:val="00BB3833"/>
    <w:rsid w:val="00BB45D2"/>
    <w:rsid w:val="00BC2A4E"/>
    <w:rsid w:val="00BC5A07"/>
    <w:rsid w:val="00BE390D"/>
    <w:rsid w:val="00C0548F"/>
    <w:rsid w:val="00C13152"/>
    <w:rsid w:val="00C15353"/>
    <w:rsid w:val="00C16D72"/>
    <w:rsid w:val="00C3017E"/>
    <w:rsid w:val="00C674F2"/>
    <w:rsid w:val="00C703DC"/>
    <w:rsid w:val="00C84A23"/>
    <w:rsid w:val="00C96CE4"/>
    <w:rsid w:val="00CA1F3D"/>
    <w:rsid w:val="00CB2B0C"/>
    <w:rsid w:val="00CB4051"/>
    <w:rsid w:val="00D10A64"/>
    <w:rsid w:val="00D13703"/>
    <w:rsid w:val="00D57A76"/>
    <w:rsid w:val="00D57D82"/>
    <w:rsid w:val="00DA4E51"/>
    <w:rsid w:val="00DC4B1A"/>
    <w:rsid w:val="00DD7443"/>
    <w:rsid w:val="00DF49C3"/>
    <w:rsid w:val="00E75841"/>
    <w:rsid w:val="00E857DF"/>
    <w:rsid w:val="00EA313B"/>
    <w:rsid w:val="00EC5C83"/>
    <w:rsid w:val="00ED4D32"/>
    <w:rsid w:val="00F168FC"/>
    <w:rsid w:val="00F37C3A"/>
    <w:rsid w:val="00F4100E"/>
    <w:rsid w:val="00F51AAA"/>
    <w:rsid w:val="00F54937"/>
    <w:rsid w:val="00F60052"/>
    <w:rsid w:val="00F826BF"/>
    <w:rsid w:val="00F839EC"/>
    <w:rsid w:val="00FB2FF0"/>
    <w:rsid w:val="00FC27DA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785E80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3833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904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19</cp:revision>
  <cp:lastPrinted>2022-11-06T10:28:00Z</cp:lastPrinted>
  <dcterms:created xsi:type="dcterms:W3CDTF">2022-11-09T06:11:00Z</dcterms:created>
  <dcterms:modified xsi:type="dcterms:W3CDTF">2022-11-11T16:17:00Z</dcterms:modified>
</cp:coreProperties>
</file>